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EE5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jc w:val="center"/>
        <w:textAlignment w:val="auto"/>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rPr>
        <w:t>关于防范不法分子冒用中广云名义从事“非法证券、股票黑嘴”活动的风险</w:t>
      </w:r>
      <w:r>
        <w:rPr>
          <w:rFonts w:hint="eastAsia" w:ascii="微软雅黑" w:hAnsi="微软雅黑" w:eastAsia="微软雅黑" w:cs="微软雅黑"/>
          <w:b/>
          <w:bCs/>
          <w:i w:val="0"/>
          <w:iCs w:val="0"/>
          <w:caps w:val="0"/>
          <w:color w:val="000000"/>
          <w:spacing w:val="0"/>
          <w:sz w:val="22"/>
          <w:szCs w:val="22"/>
          <w:lang w:val="en-US" w:eastAsia="zh-CN"/>
        </w:rPr>
        <w:t>再</w:t>
      </w:r>
      <w:r>
        <w:rPr>
          <w:rFonts w:hint="eastAsia" w:ascii="微软雅黑" w:hAnsi="微软雅黑" w:eastAsia="微软雅黑" w:cs="微软雅黑"/>
          <w:b/>
          <w:bCs/>
          <w:i w:val="0"/>
          <w:iCs w:val="0"/>
          <w:caps w:val="0"/>
          <w:color w:val="000000"/>
          <w:spacing w:val="0"/>
          <w:sz w:val="22"/>
          <w:szCs w:val="22"/>
        </w:rPr>
        <w:t>提示</w:t>
      </w:r>
    </w:p>
    <w:p w14:paraId="3479FE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jc w:val="center"/>
        <w:textAlignment w:val="auto"/>
        <w:rPr>
          <w:rFonts w:hint="eastAsia" w:ascii="微软雅黑" w:hAnsi="微软雅黑" w:eastAsia="微软雅黑" w:cs="微软雅黑"/>
          <w:b/>
          <w:bCs/>
          <w:i w:val="0"/>
          <w:iCs w:val="0"/>
          <w:caps w:val="0"/>
          <w:color w:val="000000"/>
          <w:spacing w:val="0"/>
          <w:sz w:val="22"/>
          <w:szCs w:val="22"/>
        </w:rPr>
      </w:pPr>
    </w:p>
    <w:p w14:paraId="11528EC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尊敬的投资者：</w:t>
      </w:r>
    </w:p>
    <w:p w14:paraId="180E25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rPr>
        <w:t>上海中广云证券咨询有限公司（以下简称“我司”）近期发现有不法分子冒充我司工作人员，利用电话、钉钉等方式联系客户，后让客户添加微信、钉钉账号</w:t>
      </w:r>
      <w:r>
        <w:rPr>
          <w:rFonts w:hint="eastAsia" w:ascii="微软雅黑" w:hAnsi="微软雅黑" w:eastAsia="微软雅黑" w:cs="微软雅黑"/>
          <w:i w:val="0"/>
          <w:iCs w:val="0"/>
          <w:caps w:val="0"/>
          <w:color w:val="000000"/>
          <w:spacing w:val="0"/>
          <w:sz w:val="22"/>
          <w:szCs w:val="22"/>
          <w:lang w:eastAsia="zh-CN"/>
        </w:rPr>
        <w:t>、</w:t>
      </w:r>
      <w:r>
        <w:rPr>
          <w:rFonts w:hint="eastAsia" w:ascii="微软雅黑" w:hAnsi="微软雅黑" w:eastAsia="微软雅黑" w:cs="微软雅黑"/>
          <w:i w:val="0"/>
          <w:iCs w:val="0"/>
          <w:caps w:val="0"/>
          <w:color w:val="000000"/>
          <w:spacing w:val="0"/>
          <w:sz w:val="22"/>
          <w:szCs w:val="22"/>
          <w:lang w:val="en-US" w:eastAsia="zh-CN"/>
        </w:rPr>
        <w:t>QQ</w:t>
      </w:r>
      <w:r>
        <w:rPr>
          <w:rFonts w:hint="eastAsia" w:ascii="微软雅黑" w:hAnsi="微软雅黑" w:eastAsia="微软雅黑" w:cs="微软雅黑"/>
          <w:i w:val="0"/>
          <w:iCs w:val="0"/>
          <w:caps w:val="0"/>
          <w:color w:val="000000"/>
          <w:spacing w:val="0"/>
          <w:sz w:val="22"/>
          <w:szCs w:val="22"/>
        </w:rPr>
        <w:t>等形式推荐或擅自将投资者拉入群聊，在群内从事非法证券</w:t>
      </w:r>
      <w:r>
        <w:rPr>
          <w:rFonts w:hint="eastAsia" w:ascii="微软雅黑" w:hAnsi="微软雅黑" w:eastAsia="微软雅黑" w:cs="微软雅黑"/>
          <w:i w:val="0"/>
          <w:iCs w:val="0"/>
          <w:caps w:val="0"/>
          <w:color w:val="000000"/>
          <w:spacing w:val="0"/>
          <w:sz w:val="22"/>
          <w:szCs w:val="22"/>
          <w:lang w:eastAsia="zh-CN"/>
        </w:rPr>
        <w:t>、</w:t>
      </w:r>
      <w:r>
        <w:rPr>
          <w:rFonts w:hint="eastAsia" w:ascii="微软雅黑" w:hAnsi="微软雅黑" w:eastAsia="微软雅黑" w:cs="微软雅黑"/>
          <w:i w:val="0"/>
          <w:iCs w:val="0"/>
          <w:caps w:val="0"/>
          <w:color w:val="000000"/>
          <w:spacing w:val="0"/>
          <w:sz w:val="22"/>
          <w:szCs w:val="22"/>
          <w:lang w:val="en-US" w:eastAsia="zh-CN"/>
        </w:rPr>
        <w:t>股市黑嘴的</w:t>
      </w:r>
      <w:r>
        <w:rPr>
          <w:rFonts w:hint="eastAsia" w:ascii="微软雅黑" w:hAnsi="微软雅黑" w:eastAsia="微软雅黑" w:cs="微软雅黑"/>
          <w:i w:val="0"/>
          <w:iCs w:val="0"/>
          <w:caps w:val="0"/>
          <w:color w:val="000000"/>
          <w:spacing w:val="0"/>
          <w:sz w:val="22"/>
          <w:szCs w:val="22"/>
        </w:rPr>
        <w:t>活动，</w:t>
      </w:r>
      <w:r>
        <w:rPr>
          <w:rFonts w:hint="eastAsia" w:ascii="微软雅黑" w:hAnsi="微软雅黑" w:eastAsia="微软雅黑" w:cs="微软雅黑"/>
          <w:i w:val="0"/>
          <w:iCs w:val="0"/>
          <w:caps w:val="0"/>
          <w:color w:val="000000"/>
          <w:spacing w:val="0"/>
          <w:sz w:val="22"/>
          <w:szCs w:val="22"/>
          <w:lang w:val="en-US" w:eastAsia="zh-CN"/>
        </w:rPr>
        <w:t>披着“专家”“老师”的外衣，通过“免费</w:t>
      </w:r>
      <w:r>
        <w:rPr>
          <w:rFonts w:hint="eastAsia" w:ascii="微软雅黑" w:hAnsi="微软雅黑" w:eastAsia="微软雅黑" w:cs="微软雅黑"/>
          <w:i w:val="0"/>
          <w:iCs w:val="0"/>
          <w:caps w:val="0"/>
          <w:color w:val="000000"/>
          <w:spacing w:val="0"/>
          <w:sz w:val="22"/>
          <w:szCs w:val="22"/>
        </w:rPr>
        <w:t>荐股</w:t>
      </w:r>
      <w:r>
        <w:rPr>
          <w:rFonts w:hint="eastAsia" w:ascii="微软雅黑" w:hAnsi="微软雅黑" w:eastAsia="微软雅黑" w:cs="微软雅黑"/>
          <w:i w:val="0"/>
          <w:iCs w:val="0"/>
          <w:caps w:val="0"/>
          <w:color w:val="000000"/>
          <w:spacing w:val="0"/>
          <w:sz w:val="22"/>
          <w:szCs w:val="22"/>
          <w:lang w:val="en-US" w:eastAsia="zh-CN"/>
        </w:rPr>
        <w:t>”的钓鱼术、“稳赚不赔和低风险高收益”的谎言等，</w:t>
      </w:r>
      <w:r>
        <w:rPr>
          <w:rFonts w:hint="eastAsia" w:ascii="微软雅黑" w:hAnsi="微软雅黑" w:eastAsia="微软雅黑" w:cs="微软雅黑"/>
          <w:i w:val="0"/>
          <w:iCs w:val="0"/>
          <w:caps w:val="0"/>
          <w:color w:val="000000"/>
          <w:spacing w:val="0"/>
          <w:sz w:val="22"/>
          <w:szCs w:val="22"/>
        </w:rPr>
        <w:t>利用投资者急于赚钱的心理，设下重重陷阱，损害投资者利益。</w:t>
      </w:r>
    </w:p>
    <w:p w14:paraId="043A755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为维护证券市场秩序，保障投资者合法权益，我司特别提醒广大投资者，加强风险防范意识，注意防范非法证券活动，提高对非法证券活动的辨别能力，保护自身财产安全。现就有关事项郑重声明如下:</w:t>
      </w:r>
    </w:p>
    <w:p w14:paraId="1A6950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一、我司官方网站地址为: www.zgzbzn.com，全国官方客服电话为：400-188-8682，任何假冒我司名义设立网站、客服电话等行为，均属违法。</w:t>
      </w:r>
    </w:p>
    <w:p w14:paraId="29D3746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二、我司从未将投资者信息泄露给其他机构或个人进行推广营销活动，我司从未建立任何以投资者交流名义等形式的荐股微信群、QQ群、钉钉群等线上交流群组。任何假借我司名义建立/推荐的荐股微信群、QQ群、钉钉群均系盗用账号或非法获取行为，通过线上群组假借我司名义开展证券投资咨询业务或其他非法证券咨询业务均属违法，请投资者谨慎识别，保护个人财产。</w:t>
      </w:r>
    </w:p>
    <w:p w14:paraId="7E16FD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三、我司在开展相关证券投资咨询业务时，从未要求投资者将有关款项支付到非公司机构账户或其他个人账户（银行、微信、支付宝等），任何以我司工作人员名义要求投资者支付到其他非公司账户的行为，均属违法。</w:t>
      </w:r>
    </w:p>
    <w:p w14:paraId="6CD9302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四、对于任何冒用我司名义从事证券投资子咨询或冒充我司工作人员的非法行为，我司都将通过法律手段进行严肃追究。</w:t>
      </w:r>
    </w:p>
    <w:p w14:paraId="3CEC52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任何以推荐高收益理财为名让投资者向私人银行账户转账实行诈骗，敬请投资者明辨真伪，警惕此类非法证券活动，切实保护自身利益，谨防上当受骗。同时欢迎广大投资者拨打我司客服热线400-188-8682举报有关非法证券活动。</w:t>
      </w:r>
    </w:p>
    <w:p w14:paraId="2EEA88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特此公告！</w:t>
      </w:r>
    </w:p>
    <w:p w14:paraId="69D802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jc w:val="right"/>
        <w:textAlignment w:val="auto"/>
        <w:rPr>
          <w:rFonts w:hint="eastAsia" w:ascii="微软雅黑" w:hAnsi="微软雅黑" w:eastAsia="微软雅黑" w:cs="微软雅黑"/>
          <w:i w:val="0"/>
          <w:iCs w:val="0"/>
          <w:caps w:val="0"/>
          <w:color w:val="000000"/>
          <w:spacing w:val="0"/>
          <w:sz w:val="22"/>
          <w:szCs w:val="22"/>
        </w:rPr>
      </w:pPr>
      <w:bookmarkStart w:id="0" w:name="_GoBack"/>
      <w:bookmarkEnd w:id="0"/>
    </w:p>
    <w:p w14:paraId="3A7D37C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jc w:val="righ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上海中广云证券咨询有限公司</w:t>
      </w:r>
    </w:p>
    <w:p w14:paraId="02BB5C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40" w:firstLineChars="200"/>
        <w:jc w:val="right"/>
        <w:textAlignment w:val="auto"/>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rPr>
        <w:t>2025年</w:t>
      </w:r>
      <w:r>
        <w:rPr>
          <w:rFonts w:hint="eastAsia" w:ascii="微软雅黑" w:hAnsi="微软雅黑" w:eastAsia="微软雅黑" w:cs="微软雅黑"/>
          <w:i w:val="0"/>
          <w:iCs w:val="0"/>
          <w:caps w:val="0"/>
          <w:color w:val="000000"/>
          <w:spacing w:val="0"/>
          <w:sz w:val="22"/>
          <w:szCs w:val="22"/>
          <w:lang w:val="en-US" w:eastAsia="zh-CN"/>
        </w:rPr>
        <w:t>6</w:t>
      </w:r>
      <w:r>
        <w:rPr>
          <w:rFonts w:hint="eastAsia" w:ascii="微软雅黑" w:hAnsi="微软雅黑" w:eastAsia="微软雅黑" w:cs="微软雅黑"/>
          <w:i w:val="0"/>
          <w:iCs w:val="0"/>
          <w:caps w:val="0"/>
          <w:color w:val="000000"/>
          <w:spacing w:val="0"/>
          <w:sz w:val="22"/>
          <w:szCs w:val="22"/>
        </w:rPr>
        <w:t>月</w:t>
      </w:r>
      <w:r>
        <w:rPr>
          <w:rFonts w:hint="eastAsia" w:ascii="微软雅黑" w:hAnsi="微软雅黑" w:eastAsia="微软雅黑" w:cs="微软雅黑"/>
          <w:i w:val="0"/>
          <w:iCs w:val="0"/>
          <w:caps w:val="0"/>
          <w:color w:val="000000"/>
          <w:spacing w:val="0"/>
          <w:sz w:val="22"/>
          <w:szCs w:val="22"/>
          <w:lang w:val="en-US" w:eastAsia="zh-CN"/>
        </w:rPr>
        <w:t>13</w:t>
      </w:r>
      <w:r>
        <w:rPr>
          <w:rFonts w:hint="eastAsia" w:ascii="微软雅黑" w:hAnsi="微软雅黑" w:eastAsia="微软雅黑" w:cs="微软雅黑"/>
          <w:i w:val="0"/>
          <w:iCs w:val="0"/>
          <w:caps w:val="0"/>
          <w:color w:val="000000"/>
          <w:spacing w:val="0"/>
          <w:sz w:val="22"/>
          <w:szCs w:val="22"/>
        </w:rPr>
        <w:t>日</w:t>
      </w:r>
    </w:p>
    <w:p w14:paraId="5C2735E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rPr>
      </w:pPr>
    </w:p>
    <w:p w14:paraId="7350615D">
      <w:pPr>
        <w:keepNext w:val="0"/>
        <w:keepLines w:val="0"/>
        <w:pageBreakBefore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lang w:val="en-US" w:eastAsia="zh-CN"/>
        </w:rPr>
      </w:pPr>
    </w:p>
    <w:p w14:paraId="788393DC">
      <w:pPr>
        <w:keepNext w:val="0"/>
        <w:keepLines w:val="0"/>
        <w:pageBreakBefore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lang w:val="en-US" w:eastAsia="zh-CN"/>
        </w:rPr>
      </w:pPr>
    </w:p>
    <w:p w14:paraId="65DA2FB8">
      <w:pPr>
        <w:keepNext w:val="0"/>
        <w:keepLines w:val="0"/>
        <w:pageBreakBefore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lang w:val="en-US" w:eastAsia="zh-CN"/>
        </w:rPr>
      </w:pPr>
    </w:p>
    <w:p w14:paraId="1B421480">
      <w:pPr>
        <w:keepNext w:val="0"/>
        <w:keepLines w:val="0"/>
        <w:pageBreakBefore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lang w:val="en-US" w:eastAsia="zh-CN"/>
        </w:rPr>
      </w:pPr>
    </w:p>
    <w:p w14:paraId="2878451B">
      <w:pPr>
        <w:keepNext w:val="0"/>
        <w:keepLines w:val="0"/>
        <w:pageBreakBefore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lang w:val="en-US" w:eastAsia="zh-CN"/>
        </w:rPr>
      </w:pPr>
    </w:p>
    <w:p w14:paraId="6931956E">
      <w:pPr>
        <w:keepNext w:val="0"/>
        <w:keepLines w:val="0"/>
        <w:pageBreakBefore w:val="0"/>
        <w:kinsoku/>
        <w:wordWrap/>
        <w:overflowPunct/>
        <w:topLinePunct w:val="0"/>
        <w:autoSpaceDE/>
        <w:autoSpaceDN/>
        <w:bidi w:val="0"/>
        <w:adjustRightInd/>
        <w:snapToGrid/>
        <w:spacing w:beforeAutospacing="0" w:afterAutospacing="0"/>
        <w:ind w:firstLine="440" w:firstLineChars="200"/>
        <w:textAlignment w:val="auto"/>
        <w:rPr>
          <w:rFonts w:hint="eastAsia" w:ascii="微软雅黑" w:hAnsi="微软雅黑" w:eastAsia="微软雅黑" w:cs="微软雅黑"/>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C">
    <w:panose1 w:val="020B0500000000000000"/>
    <w:charset w:val="86"/>
    <w:family w:val="auto"/>
    <w:pitch w:val="default"/>
    <w:sig w:usb0="20000083" w:usb1="2ADF3C10" w:usb2="00000016" w:usb3="00000000" w:csb0="60060107" w:csb1="00000000"/>
  </w:font>
  <w:font w:name="Microsoft YaHei UI">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8398F"/>
    <w:rsid w:val="5B261614"/>
    <w:rsid w:val="6EC4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2025-06-13T08:12:49Z</dcterms:created>
  <dc:creator>EDY</dc:creator>
  <cp:lastModifiedBy>*Wendy</cp:lastModifiedBy>
  <dcterms:modified xsi:type="dcterms:W3CDTF">2025-06-13T08:16:23Z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eyJoZGlkIjoiMWYyZGE2MjViNGE5MTU3MjA2YmNhNDgyM2QwNDk0ZWUiLCJ1c2VySWQiOiIyODQwNjc5MDAifQ==</vt:lpwstr>
  </property>
  <property fmtid="{D5CDD505-2E9C-101B-9397-08002B2CF9AE}" pid="4" name="ICV">
    <vt:lpwstr>F5C355CDF8184C448E8F91431CA418C4_12</vt:lpwstr>
  </property>
</Properties>
</file>